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.c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/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JEMB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/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POKJA-III/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ULP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-BT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/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CB72E2" w:rsidRDefault="00CB72E2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CB72E2">
              <w:rPr>
                <w:rFonts w:ascii="Times New Roman" w:hAnsi="Times New Roman"/>
                <w:sz w:val="24"/>
                <w:lang w:val="id-ID"/>
              </w:rPr>
              <w:t>CV. FACHRI PERDANA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CB72E2" w:rsidRPr="00CB72E2">
        <w:rPr>
          <w:b/>
        </w:rPr>
        <w:t>Box Cluvert Desa Harapan</w:t>
      </w:r>
      <w:r w:rsidR="00CB72E2">
        <w:rPr>
          <w:b/>
          <w:lang w:val="id-ID"/>
        </w:rPr>
        <w:t xml:space="preserve"> </w:t>
      </w:r>
      <w:bookmarkStart w:id="0" w:name="_GoBack"/>
      <w:bookmarkEnd w:id="0"/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84" w:rsidRDefault="00DF1A84">
      <w:r>
        <w:separator/>
      </w:r>
    </w:p>
  </w:endnote>
  <w:endnote w:type="continuationSeparator" w:id="0">
    <w:p w:rsidR="00DF1A84" w:rsidRDefault="00DF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84" w:rsidRDefault="00DF1A84">
      <w:r>
        <w:separator/>
      </w:r>
    </w:p>
  </w:footnote>
  <w:footnote w:type="continuationSeparator" w:id="0">
    <w:p w:rsidR="00DF1A84" w:rsidRDefault="00DF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88A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0D63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3A46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80844"/>
    <w:rsid w:val="006A282B"/>
    <w:rsid w:val="006A51B9"/>
    <w:rsid w:val="006B3D5A"/>
    <w:rsid w:val="006C2A18"/>
    <w:rsid w:val="006D11B7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F014D"/>
    <w:rsid w:val="009F43C6"/>
    <w:rsid w:val="00A022A0"/>
    <w:rsid w:val="00A051B2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38EF"/>
    <w:rsid w:val="00A57D7B"/>
    <w:rsid w:val="00A60232"/>
    <w:rsid w:val="00A63691"/>
    <w:rsid w:val="00A63858"/>
    <w:rsid w:val="00A664EA"/>
    <w:rsid w:val="00A733B2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66B5F"/>
    <w:rsid w:val="00C709F4"/>
    <w:rsid w:val="00C906B3"/>
    <w:rsid w:val="00C96588"/>
    <w:rsid w:val="00CA3EE6"/>
    <w:rsid w:val="00CB0329"/>
    <w:rsid w:val="00CB4304"/>
    <w:rsid w:val="00CB72E2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C24E4"/>
    <w:rsid w:val="00DC341D"/>
    <w:rsid w:val="00DD6A69"/>
    <w:rsid w:val="00DE6959"/>
    <w:rsid w:val="00DE6E3D"/>
    <w:rsid w:val="00DE708F"/>
    <w:rsid w:val="00DF1A84"/>
    <w:rsid w:val="00DF5CD9"/>
    <w:rsid w:val="00DF7FD3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2</cp:revision>
  <cp:lastPrinted>2017-04-14T18:40:00Z</cp:lastPrinted>
  <dcterms:created xsi:type="dcterms:W3CDTF">2018-05-06T11:50:00Z</dcterms:created>
  <dcterms:modified xsi:type="dcterms:W3CDTF">2018-05-06T11:50:00Z</dcterms:modified>
</cp:coreProperties>
</file>